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wysokości stawek podatku od nieruchomości na 2026r.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18 ust. 2 pkt. 8 w związku z art. 40 ust. 1 ustawy z dnia 8 marca 1990r. o samorządzie gminnym (tekst jednolity Dz.U. z 2025 r. poz. 1153; 1436) i art. 4 ust. 2 ustawy z dnia 20 lipca 2000r.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 ogłaszaniu aktów normatywnych i niektórych innych aktów prawnych (tekst jednolity Dz.U.                       z 2019r. poz. 1461) oraz art. 5 ust. 1, ustawy z dnia 12 stycznia 1991r. o podatkach i opłatach lokalnych (tekst jednolity Dz.U. z 2025r. poz. 707) Rada Miejska w Skale uchwala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Stawki podatku od nieruchomości od gruntów wynoszą rocznie: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związanych z prowadzeniem działalności gospodarczej, bez względu na sposób zakwalifikowania w ewidencji gruntów i budynków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1,40 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 wodami powierzchniowymi stojącymi lub wodami powierzchniowymi płynącymi jezior i zbiorników sztucznych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7,15 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1 ha powierzchni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pozostałych, w 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0,65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niezabudowanych objętych obszarem rewitalizacji, o którym mowa w ustawie z dnia 9 października 2015r. o rewitalizacji (Dz.U. z 2021 poz. 485)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- 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2,36 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1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budynków lub ich części 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mieszkalnych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1,15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 prowadzeniem działalności gospodarczej oraz od budynków mieszkalnych lub ich części zajętych na prowadzenie działalności gospodarczej: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 pierwsze 10 000m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30,00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 każdy następny metr kwadratowy powyżej 10 000m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50 000m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25,50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 każdy następny metr kwadratowy powyżej 50  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24,00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zajętych na prowadzenie działalności gospodarczej w zakresie obrotu kwalifikowanym materiałem siewnym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16,64 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związanych z udzielaniem świadczeń zdrowotnych w rozumieniu przepisów o działalności leczniczej, zajętych przez podmioty udzielające tych świadczeń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7,27 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pozostałych, w 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8,60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budowli – 2% ich wartości określonej na podstawie art. 4 ust. 1 pkt 3 i ust. 3-7 ustawy                            o podatkach i opłatach lokalnych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Miasta i Gminy Skała.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 Dzienniku Urzędowym Województwa Małopolskiego.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po upływie 14 dni od ogłoszenia w Dzienniku Urzędowym Województwa Małopolskiego i ma zastosowanie do podatku należnego od 1.01.2026r.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Uprawnienia Rady Gminy do określenia wysokości stawek podatku od nieruchomości wynikają z art. 5 stawy z dnia 12 stycznia 1991r. o podatkach i opłatach lokalnych (tekst jednolity Dz.U.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20</w:t>
      </w:r>
      <w:r>
        <w:rPr>
          <w:color w:val="000000"/>
          <w:szCs w:val="20"/>
          <w:shd w:val="clear" w:color="auto" w:fill="FFFFFF"/>
        </w:rPr>
        <w:t>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r. poz. </w:t>
      </w:r>
      <w:r>
        <w:rPr>
          <w:color w:val="000000"/>
          <w:szCs w:val="20"/>
          <w:shd w:val="clear" w:color="auto" w:fill="FFFFFF"/>
        </w:rPr>
        <w:t>707</w:t>
      </w:r>
      <w:r>
        <w:rPr>
          <w:color w:val="000000"/>
          <w:szCs w:val="20"/>
          <w:shd w:val="clear" w:color="auto" w:fill="FFFFFF"/>
          <w:lang w:val="x-none" w:eastAsia="en-US" w:bidi="ar-SA"/>
        </w:rPr>
        <w:t>), z tym, że stawki nie mogą przekroczyć górnych stawek ogłoszonych przez Ministra właściwego do spraw finansów publicznych na dany rok podatkowy. Zgodnie z art. 20 cytowanej ustawy górne granice stawek kwotowych ulegają corocznie podwyższeniu na następny rok podatkowy w stopniu odpowiadającym wskaźnikowi cen towarów i usług konsumpcyjnych w okresie I półrocza 20</w:t>
      </w:r>
      <w:r>
        <w:rPr>
          <w:color w:val="000000"/>
          <w:szCs w:val="20"/>
          <w:shd w:val="clear" w:color="auto" w:fill="FFFFFF"/>
        </w:rPr>
        <w:t>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roku, w którym stawki ulegają zmianie, w stosunku do analogicznego okresu roku poprzedniego. Wskaźnik ten wg obwieszczenia Prezesa GUS z dnia </w:t>
      </w:r>
      <w:r>
        <w:rPr>
          <w:color w:val="000000"/>
          <w:szCs w:val="20"/>
          <w:shd w:val="clear" w:color="auto" w:fill="FFFFFF"/>
        </w:rPr>
        <w:t>15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lipca 20</w:t>
      </w:r>
      <w:r>
        <w:rPr>
          <w:color w:val="000000"/>
          <w:szCs w:val="20"/>
          <w:shd w:val="clear" w:color="auto" w:fill="FFFFFF"/>
        </w:rPr>
        <w:t>24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r. wynosi - </w:t>
      </w:r>
      <w:r>
        <w:rPr>
          <w:color w:val="000000"/>
          <w:szCs w:val="20"/>
          <w:shd w:val="clear" w:color="auto" w:fill="FFFFFF"/>
        </w:rPr>
        <w:t>102,70</w:t>
      </w:r>
      <w:r>
        <w:rPr>
          <w:color w:val="000000"/>
          <w:szCs w:val="20"/>
          <w:shd w:val="clear" w:color="auto" w:fill="FFFFFF"/>
          <w:lang w:val="x-none" w:eastAsia="en-US" w:bidi="ar-SA"/>
        </w:rPr>
        <w:t>%. Minister Finansów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ogłasza w drodze obwieszczenia w Dzienniku Urzędowym RP „Monitor Polski" górne granice stawek kwotowych na każdy rok podatkowy.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Górne stawki podatku od nieruchomości </w:t>
      </w:r>
      <w:r>
        <w:rPr>
          <w:color w:val="000000"/>
          <w:szCs w:val="20"/>
          <w:shd w:val="clear" w:color="auto" w:fill="FFFFFF"/>
        </w:rPr>
        <w:t xml:space="preserve">na rok 2026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kształtują się następująco: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 od gruntów: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72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a)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związanych z prowadzeniem działalności gospodarczej,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bez względu na sposób zakwalifikowania w ewidencji gruntów i budynków:</w:t>
      </w:r>
      <w:r>
        <w:rPr>
          <w:b/>
          <w:i/>
          <w:color w:val="000000"/>
          <w:szCs w:val="20"/>
          <w:shd w:val="clear" w:color="auto" w:fill="FFFFFF"/>
        </w:rPr>
        <w:t xml:space="preserve"> 1,45z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>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od 1 m2 powierzchni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b)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pod </w:t>
      </w:r>
      <w:r>
        <w:rPr>
          <w:color w:val="000000"/>
          <w:szCs w:val="20"/>
          <w:shd w:val="clear" w:color="auto" w:fill="FFFFFF"/>
        </w:rPr>
        <w:t>wodami powierzchniowymi stojącymi lub wodami powierzchniowymi płynącymi jezior i zbiorników sztucznych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  <w:r>
        <w:rPr>
          <w:b/>
          <w:i/>
          <w:color w:val="000000"/>
          <w:szCs w:val="20"/>
          <w:shd w:val="clear" w:color="auto" w:fill="FFFFFF"/>
        </w:rPr>
        <w:t xml:space="preserve">7,15 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od 1 ha powierzchni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c)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pozostałych: </w:t>
      </w:r>
      <w:r>
        <w:rPr>
          <w:b/>
          <w:i/>
          <w:color w:val="000000"/>
          <w:szCs w:val="20"/>
          <w:shd w:val="clear" w:color="auto" w:fill="FFFFFF"/>
        </w:rPr>
        <w:t>0,77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od 1 m2 powierzchni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d)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niezabudowanych objętych obszarem rewitalizacji, o którym mowa w ustawie z dnia 9 października 2015r. o rewitalizacji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(Dz.U. </w:t>
      </w:r>
      <w:r>
        <w:rPr>
          <w:color w:val="000000"/>
          <w:szCs w:val="20"/>
          <w:shd w:val="clear" w:color="auto" w:fill="FFFFFF"/>
        </w:rPr>
        <w:t xml:space="preserve">z 2018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poz. </w:t>
      </w:r>
      <w:r>
        <w:rPr>
          <w:color w:val="000000"/>
          <w:szCs w:val="20"/>
          <w:shd w:val="clear" w:color="auto" w:fill="FFFFFF"/>
        </w:rPr>
        <w:t>1398 oraz z 2019 poz. 730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 </w:t>
      </w:r>
      <w:r>
        <w:rPr>
          <w:color w:val="000000"/>
          <w:szCs w:val="20"/>
          <w:shd w:val="clear" w:color="auto" w:fill="FFFFFF"/>
        </w:rPr>
        <w:t xml:space="preserve">                       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położonych na terenach, dla których miejscowy plan zagospodarowania przestrzennego przewiduje przeznaczenie pod zabudowę mieszkaniową, usługową albo zabudowę </w:t>
      </w:r>
      <w:r>
        <w:rPr>
          <w:color w:val="000000"/>
          <w:szCs w:val="20"/>
          <w:shd w:val="clear" w:color="auto" w:fill="FFFFFF"/>
        </w:rPr>
        <w:t xml:space="preserve">                        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przeznaczeniu mieszanym obejmującym wyłącznie te rodzaje zabudowy, jeżeli od dnia wejścia w życie tego planu w odniesieniu do tych gruntów upłynął okres 4 lat, a w tym czasie nie zakończono budowy zgodnie z przepisami prawa budowlanego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-  </w:t>
      </w:r>
      <w:r>
        <w:rPr>
          <w:b/>
          <w:i/>
          <w:color w:val="000000"/>
          <w:szCs w:val="20"/>
          <w:shd w:val="clear" w:color="auto" w:fill="FFFFFF"/>
        </w:rPr>
        <w:t>4,72 zł</w:t>
      </w:r>
      <w:r>
        <w:rPr>
          <w:b/>
          <w:color w:val="000000"/>
          <w:szCs w:val="20"/>
          <w:shd w:val="clear" w:color="auto" w:fill="FFFFFF"/>
        </w:rPr>
        <w:t xml:space="preserve"> </w:t>
        <w:br/>
      </w:r>
      <w:r>
        <w:rPr>
          <w:color w:val="000000"/>
          <w:szCs w:val="20"/>
          <w:shd w:val="clear" w:color="auto" w:fill="FFFFFF"/>
        </w:rPr>
        <w:t>od 1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 xml:space="preserve"> powierzchni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 od budynków lub ich części: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a)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mieszkalnych oraz zajętych wyłącznie na potrzeby mieszkalne: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i/>
          <w:color w:val="000000"/>
          <w:szCs w:val="20"/>
          <w:shd w:val="clear" w:color="auto" w:fill="FFFFFF"/>
        </w:rPr>
        <w:t>1,25 z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 1 m2 powierzchni użytkowej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b)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związanej z prowadzeniem działalności gospodarczej oraz od części budynków mieszkalnych zajętych na prowadzenie działalności gospodarczej: </w:t>
      </w:r>
      <w:r>
        <w:rPr>
          <w:b/>
          <w:color w:val="000000"/>
          <w:szCs w:val="20"/>
          <w:shd w:val="clear" w:color="auto" w:fill="FFFFFF"/>
        </w:rPr>
        <w:t>35,53</w:t>
      </w:r>
      <w:r>
        <w:rPr>
          <w:b/>
          <w:i/>
          <w:color w:val="000000"/>
          <w:szCs w:val="20"/>
          <w:shd w:val="clear" w:color="auto" w:fill="FFFFFF"/>
        </w:rPr>
        <w:t xml:space="preserve"> 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od 1 m2 powierzchni użytkowej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c)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zajętych na prowadzenie działalności gospodarczej w zakresie obrotu kwalifikowanym materiałem siewnym: </w:t>
      </w:r>
      <w:r>
        <w:rPr>
          <w:b/>
          <w:color w:val="000000"/>
          <w:szCs w:val="20"/>
          <w:shd w:val="clear" w:color="auto" w:fill="FFFFFF"/>
        </w:rPr>
        <w:t>16,64</w:t>
      </w:r>
      <w:r>
        <w:rPr>
          <w:b/>
          <w:i/>
          <w:color w:val="000000"/>
          <w:szCs w:val="20"/>
          <w:shd w:val="clear" w:color="auto" w:fill="FFFFFF"/>
        </w:rPr>
        <w:t xml:space="preserve"> 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od 1 m2 powierzchni użytkowej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d)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zajętych na prowadzenie działalności gospodarczej w zakresie udzielania świadczeń zdrowotnych: </w:t>
      </w:r>
      <w:r>
        <w:rPr>
          <w:b/>
          <w:i/>
          <w:color w:val="000000"/>
          <w:szCs w:val="20"/>
          <w:shd w:val="clear" w:color="auto" w:fill="FFFFFF"/>
        </w:rPr>
        <w:t>7,27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 1 m2 powierzchni użytkowej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e)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pozostałych: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b/>
          <w:i/>
          <w:color w:val="000000"/>
          <w:szCs w:val="20"/>
          <w:shd w:val="clear" w:color="auto" w:fill="FFFFFF"/>
        </w:rPr>
        <w:t xml:space="preserve">12,00 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 1 m2 powierzchni użytkowej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 od budowli: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- 2 % ich wartości</w:t>
      </w: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850" w:right="0" w:hanging="113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Zgodnie z art. 5 ustawy z dnia 12 stycznia 1991 r. o podatkach i opłatach lokalnych (Dz. U. z 2025r. poz. 707) Rada Miejska w Skale może różnicować stawki podatków i opłat lokalnych. Zaproponowano w 2025r. zróżnicowanie stawki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budynków wykorzystywanych do prowadzenia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działalności gospodarczej </w:t>
      </w:r>
      <w:r>
        <w:rPr>
          <w:color w:val="000000"/>
          <w:sz w:val="24"/>
          <w:szCs w:val="20"/>
          <w:shd w:val="clear" w:color="auto" w:fill="FFFFFF"/>
        </w:rPr>
        <w:t xml:space="preserve">o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pow. </w:t>
      </w:r>
      <w:r>
        <w:rPr>
          <w:color w:val="000000"/>
          <w:sz w:val="24"/>
          <w:szCs w:val="20"/>
          <w:shd w:val="clear" w:color="auto" w:fill="FFFFFF"/>
        </w:rPr>
        <w:t>do 10 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00m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</w:rPr>
        <w:t>, od 10 001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</w:rPr>
        <w:t xml:space="preserve"> do 50 000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</w:rPr>
        <w:t xml:space="preserve"> oraz powyżej 50 000m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</w:rPr>
        <w:t>.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Odpowiednia s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tawka podatkowa </w:t>
      </w:r>
      <w:r>
        <w:rPr>
          <w:color w:val="000000"/>
          <w:sz w:val="24"/>
          <w:szCs w:val="20"/>
          <w:shd w:val="clear" w:color="auto" w:fill="FFFFFF"/>
        </w:rPr>
        <w:t xml:space="preserve">do powierzchni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(</w:t>
      </w:r>
      <w:r>
        <w:rPr>
          <w:color w:val="000000"/>
          <w:sz w:val="24"/>
          <w:szCs w:val="20"/>
          <w:shd w:val="clear" w:color="auto" w:fill="FFFFFF"/>
        </w:rPr>
        <w:t>do 10 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00m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 xml:space="preserve">2 </w:t>
      </w:r>
      <w:r>
        <w:rPr>
          <w:color w:val="000000"/>
          <w:sz w:val="24"/>
          <w:szCs w:val="20"/>
          <w:shd w:val="clear" w:color="auto" w:fill="FFFFFF"/>
        </w:rPr>
        <w:t xml:space="preserve">- .....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/m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 xml:space="preserve">2 </w:t>
      </w:r>
      <w:r>
        <w:rPr>
          <w:color w:val="000000"/>
          <w:sz w:val="24"/>
          <w:szCs w:val="20"/>
          <w:shd w:val="clear" w:color="auto" w:fill="FFFFFF"/>
        </w:rPr>
        <w:t>, od 10 001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</w:rPr>
        <w:t xml:space="preserve"> do </w:t>
        <w:br/>
        <w:t>50 000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 xml:space="preserve">2 </w:t>
      </w:r>
      <w:r>
        <w:rPr>
          <w:color w:val="000000"/>
          <w:sz w:val="24"/>
          <w:szCs w:val="20"/>
          <w:shd w:val="clear" w:color="auto" w:fill="FFFFFF"/>
        </w:rPr>
        <w:t xml:space="preserve">- (85% stawki </w:t>
      </w:r>
      <w:r>
        <w:rPr>
          <w:color w:val="000000"/>
          <w:sz w:val="24"/>
          <w:szCs w:val="20"/>
          <w:shd w:val="clear" w:color="auto" w:fill="FFFFFF"/>
        </w:rPr>
        <w:t>30,00</w:t>
      </w:r>
      <w:r>
        <w:rPr>
          <w:color w:val="000000"/>
          <w:sz w:val="24"/>
          <w:szCs w:val="20"/>
          <w:shd w:val="clear" w:color="auto" w:fill="FFFFFF"/>
        </w:rPr>
        <w:t xml:space="preserve"> zł) - </w:t>
      </w:r>
      <w:r>
        <w:rPr>
          <w:color w:val="000000"/>
          <w:sz w:val="24"/>
          <w:szCs w:val="20"/>
          <w:shd w:val="clear" w:color="auto" w:fill="FFFFFF"/>
        </w:rPr>
        <w:t>25,50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/m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i powyżej 50 000m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 xml:space="preserve">- (80% stawki </w:t>
      </w:r>
      <w:r>
        <w:rPr>
          <w:color w:val="000000"/>
          <w:sz w:val="24"/>
          <w:szCs w:val="20"/>
          <w:shd w:val="clear" w:color="auto" w:fill="FFFFFF"/>
        </w:rPr>
        <w:t>30,00</w:t>
      </w:r>
      <w:r>
        <w:rPr>
          <w:color w:val="000000"/>
          <w:sz w:val="24"/>
          <w:szCs w:val="20"/>
          <w:shd w:val="clear" w:color="auto" w:fill="FFFFFF"/>
        </w:rPr>
        <w:t xml:space="preserve"> zł) - </w:t>
      </w:r>
      <w:r>
        <w:rPr>
          <w:color w:val="000000"/>
          <w:sz w:val="24"/>
          <w:szCs w:val="20"/>
          <w:shd w:val="clear" w:color="auto" w:fill="FFFFFF"/>
        </w:rPr>
        <w:t>24,00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/m</w:t>
      </w:r>
      <w:r>
        <w:rPr>
          <w:color w:val="000000"/>
          <w:sz w:val="24"/>
          <w:szCs w:val="20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 xml:space="preserve">)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dotyczyć będzie jedynie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każdego metra powierzchni użytkowej budynków, bez względu na wielkość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całkowitą powierzchni użytkowej tych budynków, wówczas nie będzie ona rozpatrywana w kategoriach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pomocy de minimis. Różnicowanie stawek podatkowych w obrębie danej kategorii nieruchomości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stanowiłoby pomoc de minimis, jeśli uprzywilejowywałoby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konkretnych przedsiębiorców (dane rodzaje działalności gospodarczej), w porównaniu z innymi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znajdującymi się w analogicznej sytuacji faktycznej i prawnej (tj. prowadzącymi działalność w tego typu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nieruchomościach, ale płacących podatek od nieruchomości w innej wysokości). W takim przypadku nie jest zatem możliwe określenie grupy przedsiębiorców, która stanowiłaby punkt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odniesienia dla przedsiębiorców płacących wyższą stawkę podatkową. Stąd też, takie zróżnicowanie stawek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podatkowych nie spełniałoby wymogu selektywności, w związku z czym nie powinno być kwalifikowane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jako pomoc de minims.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BA99BF8A-E422-4CFE-B727-156841C969AF.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BA99BF8A-E422-4CFE-B727-156841C969AF.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określenia wysokości stawek podatku od nieruchomości na 2026r.</dc:subject>
  <dc:creator>sylwia.piekarczyk</dc:creator>
  <cp:lastModifiedBy>sylwia.piekarczyk</cp:lastModifiedBy>
  <cp:revision>1</cp:revision>
  <dcterms:created xsi:type="dcterms:W3CDTF">2025-11-25T11:33:17Z</dcterms:created>
  <dcterms:modified xsi:type="dcterms:W3CDTF">2025-11-25T11:33:17Z</dcterms:modified>
  <cp:category>Akt prawny</cp:category>
</cp:coreProperties>
</file>